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F3A5F"/>
        </w:rPr>
        <w:t>Cybersecurity Policy</w:t>
      </w:r>
    </w:p>
    <w:p>
      <w:r>
        <w:rPr>
          <w:i/>
        </w:rPr>
        <w:t>[Company name] | Version [1.0] | Policy owner: the IT director or a more senior executive accountable for IT | Approved by [name, title] on [date] | Next review [date]</w:t>
      </w:r>
    </w:p>
    <w:p>
      <w:r>
        <w:rPr>
          <w:i/>
        </w:rPr>
        <w:t>Template prepared by The NetSys Group (netsysgroup.com), version 2026-11-07. Replace every bracketed item, delete the guidance notes in italics, and have the policy approved by company leadership. Where your business is regulated (for example HIPAA, the FTC Safeguards Rule or a state privacy law), have counsel review it before adoption. Delete this line before distributing the policy.</w:t>
      </w:r>
    </w:p>
    <w:p>
      <w:pPr>
        <w:pStyle w:val="Heading1"/>
      </w:pPr>
      <w:r>
        <w:t>How to use this template</w:t>
      </w:r>
    </w:p>
    <w:p>
      <w:r>
        <w:t>This document is a policy, not a procedure manual. It states what the company requires. The settings, scripts and vendor tasks that satisfy each requirement belong in your IT provider's documentation or your own runbooks, which this policy references but does not contain.</w:t>
      </w:r>
    </w:p>
    <w:p>
      <w:r>
        <w:t>The minimums in brackets are written for a business of 10 to 100 people. Raise them where a contract, insurer or regulator asks for more; do not lower them without recording an exception in section 17.</w:t>
      </w:r>
    </w:p>
    <w:p>
      <w:r>
        <w:t>A policy is not compliance by itself. Adopting this document does not make the company compliant with any law, standard or contract. Compliance comes from the controls operating, the evidence that they operate, and, where a regulation applies, review by qualified counsel.</w:t>
      </w:r>
    </w:p>
    <w:p>
      <w:r>
        <w:t>Structure: sections 1 to 3 govern; 4 to 13 protect and detect; 14 to 16 respond and recover; 17 to 20 keep the policy alive. This mirrors the six functions of the NIST Cybersecurity Framework 2.0 (Govern, Identify, Protect, Detect, Respond, Recover) and the essential cyber hygiene safeguards in CIS Controls v8 Implementation Group 1.</w:t>
      </w:r>
    </w:p>
    <w:p>
      <w:pPr>
        <w:pStyle w:val="Heading1"/>
      </w:pPr>
      <w:r>
        <w:t>1. Purpose and scope</w:t>
      </w:r>
    </w:p>
    <w:p>
      <w:r>
        <w:t>Purpose: this policy sets the minimum security requirements that protect [Company name]'s information, systems and people, and the information our clients, patients, customers and partners entrust to us.</w:t>
      </w:r>
    </w:p>
    <w:p>
      <w:r>
        <w:t>Scope: the policy applies to every employee, contractor, temporary worker and intern; to every device that connects to company systems or stores company data, whether company-owned or personal; to every company account, application and cloud service; and to vendors with access to company systems or data, through their contracts.</w:t>
      </w:r>
    </w:p>
    <w:p>
      <w:r>
        <w:t>Out of scope: [list anything excluded, for example a subsidiary with its own policy, with the reason].</w:t>
      </w:r>
    </w:p>
    <w:p>
      <w:r>
        <w:rPr>
          <w:i/>
        </w:rPr>
        <w:t>Guidance: Keep scope broad. The most common gap is a personal phone with company email on it that nobody thought the policy covered.</w:t>
      </w:r>
    </w:p>
    <w:p>
      <w:pPr>
        <w:pStyle w:val="Heading1"/>
      </w:pPr>
      <w:r>
        <w:t>2. Roles and responsibilities</w:t>
      </w:r>
    </w:p>
    <w:tbl>
      <w:tblPr>
        <w:tblStyle w:val="TableGrid"/>
        <w:tblW w:type="auto" w:w="0"/>
        <w:tblLook w:firstColumn="1" w:firstRow="1" w:lastColumn="0" w:lastRow="0" w:noHBand="0" w:noVBand="1" w:val="04A0"/>
      </w:tblPr>
      <w:tblGrid>
        <w:gridCol w:w="2880"/>
        <w:gridCol w:w="2880"/>
        <w:gridCol w:w="2880"/>
      </w:tblGrid>
      <w:tr>
        <w:tc>
          <w:tcPr>
            <w:tcW w:type="dxa" w:w="2268"/>
            <w:shd w:val="clear" w:color="auto" w:fill="EEF2F7"/>
          </w:tcPr>
          <w:p>
            <w:r/>
            <w:r>
              <w:rPr>
                <w:b/>
              </w:rPr>
              <w:t>Role</w:t>
            </w:r>
          </w:p>
        </w:tc>
        <w:tc>
          <w:tcPr>
            <w:tcW w:type="dxa" w:w="3118"/>
            <w:shd w:val="clear" w:color="auto" w:fill="EEF2F7"/>
          </w:tcPr>
          <w:p>
            <w:r/>
            <w:r>
              <w:rPr>
                <w:b/>
              </w:rPr>
              <w:t>Held by</w:t>
            </w:r>
          </w:p>
        </w:tc>
        <w:tc>
          <w:tcPr>
            <w:tcW w:type="dxa" w:w="3969"/>
            <w:shd w:val="clear" w:color="auto" w:fill="EEF2F7"/>
          </w:tcPr>
          <w:p>
            <w:r/>
            <w:r>
              <w:rPr>
                <w:b/>
              </w:rPr>
              <w:t>Responsible for</w:t>
            </w:r>
          </w:p>
        </w:tc>
      </w:tr>
      <w:tr>
        <w:tc>
          <w:tcPr>
            <w:tcW w:type="dxa" w:w="2268"/>
          </w:tcPr>
          <w:p>
            <w:r>
              <w:t>Policy owner</w:t>
            </w:r>
          </w:p>
        </w:tc>
        <w:tc>
          <w:tcPr>
            <w:tcW w:type="dxa" w:w="3118"/>
          </w:tcPr>
          <w:p>
            <w:r>
              <w:t>The IT director or a more senior executive accountable for IT: [name, title]</w:t>
            </w:r>
          </w:p>
        </w:tc>
        <w:tc>
          <w:tcPr>
            <w:tcW w:type="dxa" w:w="3969"/>
          </w:tcPr>
          <w:p>
            <w:r>
              <w:t>Approving the policy, deciding exceptions, reporting to leadership at least annually, and confirming the review in section 18 happened</w:t>
            </w:r>
          </w:p>
        </w:tc>
      </w:tr>
      <w:tr>
        <w:tc>
          <w:tcPr>
            <w:tcW w:type="dxa" w:w="2268"/>
          </w:tcPr>
          <w:p>
            <w:r>
              <w:t>Security administrator(s)</w:t>
            </w:r>
          </w:p>
        </w:tc>
        <w:tc>
          <w:tcPr>
            <w:tcW w:type="dxa" w:w="3118"/>
          </w:tcPr>
          <w:p>
            <w:r>
              <w:t>[Internal IT lead and/or managed IT provider: names]</w:t>
            </w:r>
          </w:p>
        </w:tc>
        <w:tc>
          <w:tcPr>
            <w:tcW w:type="dxa" w:w="3969"/>
          </w:tcPr>
          <w:p>
            <w:r>
              <w:t>Operating the controls in sections 4 to 13, keeping the evidence listed in each section, and running the incident response steps in section 14</w:t>
            </w:r>
          </w:p>
        </w:tc>
      </w:tr>
      <w:tr>
        <w:tc>
          <w:tcPr>
            <w:tcW w:type="dxa" w:w="2268"/>
          </w:tcPr>
          <w:p>
            <w:r>
              <w:t>Managers</w:t>
            </w:r>
          </w:p>
        </w:tc>
        <w:tc>
          <w:tcPr>
            <w:tcW w:type="dxa" w:w="3118"/>
          </w:tcPr>
          <w:p>
            <w:r>
              <w:t>[Department heads]</w:t>
            </w:r>
          </w:p>
        </w:tc>
        <w:tc>
          <w:tcPr>
            <w:tcW w:type="dxa" w:w="3969"/>
          </w:tcPr>
          <w:p>
            <w:r>
              <w:t>Requesting and approving access for their staff, confirming access reviews, and reporting leavers and role changes the same day</w:t>
            </w:r>
          </w:p>
        </w:tc>
      </w:tr>
      <w:tr>
        <w:tc>
          <w:tcPr>
            <w:tcW w:type="dxa" w:w="2268"/>
          </w:tcPr>
          <w:p>
            <w:r>
              <w:t>All staff</w:t>
            </w:r>
          </w:p>
        </w:tc>
        <w:tc>
          <w:tcPr>
            <w:tcW w:type="dxa" w:w="3118"/>
          </w:tcPr>
          <w:p>
            <w:r>
              <w:t>Every person in scope</w:t>
            </w:r>
          </w:p>
        </w:tc>
        <w:tc>
          <w:tcPr>
            <w:tcW w:type="dxa" w:w="3969"/>
          </w:tcPr>
          <w:p>
            <w:r>
              <w:t>Following this policy and the acceptable use policy, completing training, and reporting suspected incidents at once</w:t>
            </w:r>
          </w:p>
        </w:tc>
      </w:tr>
      <w:tr>
        <w:tc>
          <w:tcPr>
            <w:tcW w:type="dxa" w:w="2268"/>
          </w:tcPr>
          <w:p>
            <w:r>
              <w:t>Vendors and service providers</w:t>
            </w:r>
          </w:p>
        </w:tc>
        <w:tc>
          <w:tcPr>
            <w:tcW w:type="dxa" w:w="3118"/>
          </w:tcPr>
          <w:p>
            <w:r>
              <w:t>Every third party with access to company systems or data</w:t>
            </w:r>
          </w:p>
        </w:tc>
        <w:tc>
          <w:tcPr>
            <w:tcW w:type="dxa" w:w="3969"/>
          </w:tcPr>
          <w:p>
            <w:r>
              <w:t>Meeting the security requirements in their contract and reporting incidents affecting company data within the agreed time</w:t>
            </w:r>
          </w:p>
        </w:tc>
      </w:tr>
      <w:tr>
        <w:tc>
          <w:tcPr>
            <w:tcW w:type="dxa" w:w="2268"/>
          </w:tcPr>
          <w:p>
            <w:r>
              <w:t>Legal counsel</w:t>
            </w:r>
          </w:p>
        </w:tc>
        <w:tc>
          <w:tcPr>
            <w:tcW w:type="dxa" w:w="3118"/>
          </w:tcPr>
          <w:p>
            <w:r>
              <w:t>[Name or firm]</w:t>
            </w:r>
          </w:p>
        </w:tc>
        <w:tc>
          <w:tcPr>
            <w:tcW w:type="dxa" w:w="3969"/>
          </w:tcPr>
          <w:p>
            <w:r>
              <w:t>Advising on regulatory and contractual obligations, including notification duties after an incident</w:t>
            </w:r>
          </w:p>
        </w:tc>
      </w:tr>
    </w:tbl>
    <w:p/>
    <w:p>
      <w:r>
        <w:rPr>
          <w:i/>
        </w:rPr>
        <w:t>Guidance: One person may hold several roles in a small company, but the policy owner and the person who operates the controls should not be the only check on each other. Leadership sees the annual report.</w:t>
      </w:r>
    </w:p>
    <w:p>
      <w:pPr>
        <w:pStyle w:val="Heading1"/>
      </w:pPr>
      <w:r>
        <w:t>3. Acceptable use</w:t>
      </w:r>
    </w:p>
    <w:p>
      <w:r>
        <w:t>Acceptable use of company devices, accounts, email, internet, cloud applications, personal devices and AI tools is governed by the separate Acceptable Use Policy, version [x], which every person in scope acknowledges at hire and annually. Where the two documents differ, the stricter requirement applies.</w:t>
      </w:r>
    </w:p>
    <w:p>
      <w:r>
        <w:t>Reference: an editable acceptable use policy and guidance are published at netsysgroup.com/blog/acceptable-use-policy-template.</w:t>
      </w:r>
    </w:p>
    <w:p>
      <w:pPr>
        <w:pStyle w:val="Heading1"/>
      </w:pPr>
      <w:r>
        <w:t>4. Identity and access management</w:t>
      </w:r>
    </w:p>
    <w:p>
      <w:pPr>
        <w:pStyle w:val="ListBullet"/>
      </w:pPr>
      <w:r>
        <w:t>Every person has an individual named account. Shared accounts are prohibited except where a system cannot support individual accounts; those accounts are recorded in the exception register with a named owner and their passwords are stored in the company password manager.</w:t>
      </w:r>
    </w:p>
    <w:p>
      <w:pPr>
        <w:pStyle w:val="ListBullet"/>
      </w:pPr>
      <w:r>
        <w:t>Multifactor authentication (MFA) is required on every account that can be reached from the internet, including email, remote access, cloud applications, financial systems and all administrator accounts. Administrators use phishing-resistant MFA (a passkey or hardware security key) where the system supports it.</w:t>
      </w:r>
    </w:p>
    <w:p>
      <w:pPr>
        <w:pStyle w:val="ListBullet"/>
      </w:pPr>
      <w:r>
        <w:t>Passwords are at least [14] characters, unique to each system, stored in the company password manager, and never reused from personal accounts. Passwords are changed when there is any suspicion of compromise, not on a fixed calendar.</w:t>
      </w:r>
    </w:p>
    <w:p>
      <w:pPr>
        <w:pStyle w:val="ListBullet"/>
      </w:pPr>
      <w:r>
        <w:t>Access follows least privilege: people receive the access their role requires and no more. Access to [client, patient, financial, HR] data is granted by the data owner in section 7.</w:t>
      </w:r>
    </w:p>
    <w:p>
      <w:pPr>
        <w:pStyle w:val="ListBullet"/>
      </w:pPr>
      <w:r>
        <w:t>Joiners: access is requested by the manager and provisioned from a role template before the start date; the new hire acknowledges this policy and the acceptable use policy before receiving credentials.</w:t>
      </w:r>
    </w:p>
    <w:p>
      <w:pPr>
        <w:pStyle w:val="ListBullet"/>
      </w:pPr>
      <w:r>
        <w:t>Movers: when someone changes role, the old role's access is removed within [5 business days] and the new role's access is provisioned from the template.</w:t>
      </w:r>
    </w:p>
    <w:p>
      <w:pPr>
        <w:pStyle w:val="ListBullet"/>
      </w:pPr>
      <w:r>
        <w:t>Leavers: all access is disabled within [4 hours] of the person's departure on the final day, before the exit conversation ends where the departure is involuntary. Company data on personal devices is removed by the mobile management tool. Mail and files are transferred to the manager and the account is deleted after [90 days].</w:t>
      </w:r>
    </w:p>
    <w:p>
      <w:pPr>
        <w:pStyle w:val="ListBullet"/>
      </w:pPr>
      <w:r>
        <w:t>Privileged accounts: administrators use a separate account for administrative work and a standard account for email and browsing. Global or domain administrator roles are limited to [2 to 3] named people plus the managed IT provider's break-glass account. Privileged activity is logged (section 10).</w:t>
      </w:r>
    </w:p>
    <w:p>
      <w:pPr>
        <w:pStyle w:val="ListBullet"/>
      </w:pPr>
      <w:r>
        <w:t>Access reviews: managers confirm their team's access, including vendor and service accounts, every [quarter]. Unneeded access is removed within [5 business days] of the review.</w:t>
      </w:r>
    </w:p>
    <w:p>
      <w:r>
        <w:rPr>
          <w:i/>
        </w:rPr>
        <w:t>Guidance: Minimum for 10 to 100 people: MFA everywhere it is available, a password manager for every employee, written joiner/mover/leaver steps, and a quarterly access review that produces a dated record. Evidence to keep: MFA coverage report, access review sign-offs, offboarding tickets.</w:t>
      </w:r>
    </w:p>
    <w:p>
      <w:pPr>
        <w:pStyle w:val="Heading1"/>
      </w:pPr>
      <w:r>
        <w:t>5. Device and endpoint protection</w:t>
      </w:r>
    </w:p>
    <w:p>
      <w:pPr>
        <w:pStyle w:val="ListBullet"/>
      </w:pPr>
      <w:r>
        <w:t>Every company computer and server runs a managed endpoint detection and response (EDR) agent that is monitored [24 hours a day by the managed detection and response provider]. Consumer antivirus alone does not meet this requirement.</w:t>
      </w:r>
    </w:p>
    <w:p>
      <w:pPr>
        <w:pStyle w:val="ListBullet"/>
      </w:pPr>
      <w:r>
        <w:t>Every laptop and desktop has full-disk encryption enabled (BitLocker, FileVault or the equivalent), with recovery keys escrowed in the management console.</w:t>
      </w:r>
    </w:p>
    <w:p>
      <w:pPr>
        <w:pStyle w:val="ListBullet"/>
      </w:pPr>
      <w:r>
        <w:t>Devices are enrolled in the company device management tool, which enforces screen lock after [10] minutes, a passcode or biometric unlock, encryption and the approved security settings.</w:t>
      </w:r>
    </w:p>
    <w:p>
      <w:pPr>
        <w:pStyle w:val="ListBullet"/>
      </w:pPr>
      <w:r>
        <w:t>Patching cadence: operating system and browser security updates are installed within [14 days] of release, and within [72 hours] where the vendor or a government advisory rates the vulnerability critical or reports active exploitation. Other third-party applications are updated within [30 days]. Servers and network equipment follow the same windows, with maintenance scheduled outside business hours.</w:t>
      </w:r>
    </w:p>
    <w:p>
      <w:pPr>
        <w:pStyle w:val="ListBullet"/>
      </w:pPr>
      <w:r>
        <w:t>Operating systems and applications that no longer receive security updates from their vendor are retired or isolated within [90 days] of the vendor's end-of-support date; an exception must be recorded in section 17 with compensating controls.</w:t>
      </w:r>
    </w:p>
    <w:p>
      <w:pPr>
        <w:pStyle w:val="ListBullet"/>
      </w:pPr>
      <w:r>
        <w:t>Users do not have local administrator rights on their everyday accounts. Software is installed from the company's approved list or by request to IT.</w:t>
      </w:r>
    </w:p>
    <w:p>
      <w:pPr>
        <w:pStyle w:val="ListBullet"/>
      </w:pPr>
      <w:r>
        <w:t>Lost or stolen devices are reported within [1 hour] of discovery so they can be locked and wiped remotely.</w:t>
      </w:r>
    </w:p>
    <w:p>
      <w:r>
        <w:rPr>
          <w:i/>
        </w:rPr>
        <w:t>Guidance: Minimum: EDR on 100 percent of computers, encryption on 100 percent of laptops, a 14-day patch window with a 72-hour window for critical fixes, and a monthly report showing the percentage of devices that met it. Evidence: EDR and patch compliance reports, encryption status export.</w:t>
      </w:r>
    </w:p>
    <w:p>
      <w:pPr>
        <w:pStyle w:val="Heading1"/>
      </w:pPr>
      <w:r>
        <w:t>6. Network and remote access</w:t>
      </w:r>
    </w:p>
    <w:p>
      <w:pPr>
        <w:pStyle w:val="ListBullet"/>
      </w:pPr>
      <w:r>
        <w:t>Each office is protected by a business-grade firewall with current security subscriptions, managed by [IT provider], with configuration backed up and changes recorded.</w:t>
      </w:r>
    </w:p>
    <w:p>
      <w:pPr>
        <w:pStyle w:val="ListBullet"/>
      </w:pPr>
      <w:r>
        <w:t>Guest and personal devices use a separate guest wireless network that cannot reach company systems. Company wireless uses [WPA3 or WPA2-Enterprise] and keys or certificates are rotated when an administrator leaves.</w:t>
      </w:r>
    </w:p>
    <w:p>
      <w:pPr>
        <w:pStyle w:val="ListBullet"/>
      </w:pPr>
      <w:r>
        <w:t>Remote access to company systems is only through the approved method ([VPN with MFA, or the identity-aware access service]). Remote Desktop and other administrative services are never exposed directly to the internet.</w:t>
      </w:r>
    </w:p>
    <w:p>
      <w:pPr>
        <w:pStyle w:val="ListBullet"/>
      </w:pPr>
      <w:r>
        <w:t>Devices connecting remotely must meet the requirements of section 5. Company systems are not accessed from public or shared computers.</w:t>
      </w:r>
    </w:p>
    <w:p>
      <w:pPr>
        <w:pStyle w:val="ListBullet"/>
      </w:pPr>
      <w:r>
        <w:t>Network equipment firmware follows the patching windows in section 5. Default administrator passwords are changed before any device is connected.</w:t>
      </w:r>
    </w:p>
    <w:p>
      <w:pPr>
        <w:pStyle w:val="ListBullet"/>
      </w:pPr>
      <w:r>
        <w:t>Operational technology and smart devices (printers, cameras, door controllers, conference room systems) sit on a separate network segment with no path to servers and file storage beyond what they need.</w:t>
      </w:r>
    </w:p>
    <w:p>
      <w:r>
        <w:rPr>
          <w:i/>
        </w:rPr>
        <w:t>Guidance: Minimum: one managed firewall per site, a guest network, MFA on remote access and nothing administrative published to the internet. Evidence: firewall configuration backup, external port scan result, remote access MFA report.</w:t>
      </w:r>
    </w:p>
    <w:p>
      <w:pPr>
        <w:pStyle w:val="Heading1"/>
      </w:pPr>
      <w:r>
        <w:t>7. Data classification, handling and retention</w:t>
      </w:r>
    </w:p>
    <w:p>
      <w:r>
        <w:t>Company information is classified into the four levels below. The data owner for each business dataset (for example the finance lead for payroll, the practice administrator for patient records) decides who may access it and how long it is kept.</w:t>
      </w:r>
    </w:p>
    <w:tbl>
      <w:tblPr>
        <w:tblStyle w:val="TableGrid"/>
        <w:tblW w:type="auto" w:w="0"/>
        <w:tblLook w:firstColumn="1" w:firstRow="1" w:lastColumn="0" w:lastRow="0" w:noHBand="0" w:noVBand="1" w:val="04A0"/>
      </w:tblPr>
      <w:tblGrid>
        <w:gridCol w:w="2880"/>
        <w:gridCol w:w="2880"/>
        <w:gridCol w:w="2880"/>
      </w:tblGrid>
      <w:tr>
        <w:tc>
          <w:tcPr>
            <w:tcW w:type="dxa" w:w="1701"/>
            <w:shd w:val="clear" w:color="auto" w:fill="EEF2F7"/>
          </w:tcPr>
          <w:p>
            <w:r/>
            <w:r>
              <w:rPr>
                <w:b/>
              </w:rPr>
              <w:t>Level</w:t>
            </w:r>
          </w:p>
        </w:tc>
        <w:tc>
          <w:tcPr>
            <w:tcW w:type="dxa" w:w="3402"/>
            <w:shd w:val="clear" w:color="auto" w:fill="EEF2F7"/>
          </w:tcPr>
          <w:p>
            <w:r/>
            <w:r>
              <w:rPr>
                <w:b/>
              </w:rPr>
              <w:t>Examples</w:t>
            </w:r>
          </w:p>
        </w:tc>
        <w:tc>
          <w:tcPr>
            <w:tcW w:type="dxa" w:w="4252"/>
            <w:shd w:val="clear" w:color="auto" w:fill="EEF2F7"/>
          </w:tcPr>
          <w:p>
            <w:r/>
            <w:r>
              <w:rPr>
                <w:b/>
              </w:rPr>
              <w:t>Handling requirements</w:t>
            </w:r>
          </w:p>
        </w:tc>
      </w:tr>
      <w:tr>
        <w:tc>
          <w:tcPr>
            <w:tcW w:type="dxa" w:w="1701"/>
          </w:tcPr>
          <w:p>
            <w:r>
              <w:t>Restricted</w:t>
            </w:r>
          </w:p>
        </w:tc>
        <w:tc>
          <w:tcPr>
            <w:tcW w:type="dxa" w:w="3402"/>
          </w:tcPr>
          <w:p>
            <w:r>
              <w:t>Client or patient records, Social Security numbers, card and bank data, health information, credentials, legal matters</w:t>
            </w:r>
          </w:p>
        </w:tc>
        <w:tc>
          <w:tcPr>
            <w:tcW w:type="dxa" w:w="4252"/>
          </w:tcPr>
          <w:p>
            <w:r>
              <w:t>Access only by named roles; encrypted at rest and in transit; never sent by unencrypted email or placed in personal cloud or AI accounts; shared externally only through the approved secure channel; access logged</w:t>
            </w:r>
          </w:p>
        </w:tc>
      </w:tr>
      <w:tr>
        <w:tc>
          <w:tcPr>
            <w:tcW w:type="dxa" w:w="1701"/>
          </w:tcPr>
          <w:p>
            <w:r>
              <w:t>Confidential</w:t>
            </w:r>
          </w:p>
        </w:tc>
        <w:tc>
          <w:tcPr>
            <w:tcW w:type="dxa" w:w="3402"/>
          </w:tcPr>
          <w:p>
            <w:r>
              <w:t>Contracts, financials, HR records, pricing, internal plans, system documentation</w:t>
            </w:r>
          </w:p>
        </w:tc>
        <w:tc>
          <w:tcPr>
            <w:tcW w:type="dxa" w:w="4252"/>
          </w:tcPr>
          <w:p>
            <w:r>
              <w:t>Access limited to teams that need it; stored only in company systems; external sharing through approved tools with an expiry</w:t>
            </w:r>
          </w:p>
        </w:tc>
      </w:tr>
      <w:tr>
        <w:tc>
          <w:tcPr>
            <w:tcW w:type="dxa" w:w="1701"/>
          </w:tcPr>
          <w:p>
            <w:r>
              <w:t>Internal</w:t>
            </w:r>
          </w:p>
        </w:tc>
        <w:tc>
          <w:tcPr>
            <w:tcW w:type="dxa" w:w="3402"/>
          </w:tcPr>
          <w:p>
            <w:r>
              <w:t>Day-to-day working documents, internal communications, procedures</w:t>
            </w:r>
          </w:p>
        </w:tc>
        <w:tc>
          <w:tcPr>
            <w:tcW w:type="dxa" w:w="4252"/>
          </w:tcPr>
          <w:p>
            <w:r>
              <w:t>Stored in company systems; not posted publicly; may be shared with vendors under a nondisclosure agreement</w:t>
            </w:r>
          </w:p>
        </w:tc>
      </w:tr>
      <w:tr>
        <w:tc>
          <w:tcPr>
            <w:tcW w:type="dxa" w:w="1701"/>
          </w:tcPr>
          <w:p>
            <w:r>
              <w:t>Public</w:t>
            </w:r>
          </w:p>
        </w:tc>
        <w:tc>
          <w:tcPr>
            <w:tcW w:type="dxa" w:w="3402"/>
          </w:tcPr>
          <w:p>
            <w:r>
              <w:t>Marketing material, published prices, job postings</w:t>
            </w:r>
          </w:p>
        </w:tc>
        <w:tc>
          <w:tcPr>
            <w:tcW w:type="dxa" w:w="4252"/>
          </w:tcPr>
          <w:p>
            <w:r>
              <w:t>No restrictions beyond accuracy and approval by [marketing or leadership]</w:t>
            </w:r>
          </w:p>
        </w:tc>
      </w:tr>
    </w:tbl>
    <w:p/>
    <w:p>
      <w:pPr>
        <w:pStyle w:val="ListBullet"/>
      </w:pPr>
      <w:r>
        <w:t>Restricted and Confidential data is stored only in company-controlled systems: [Microsoft 365 or Google Workspace, the practice or line-of-business system, the approved file service]. Personal email, personal cloud storage and removable media are not used for company data unless IT has approved and encrypted the device.</w:t>
      </w:r>
    </w:p>
    <w:p>
      <w:pPr>
        <w:pStyle w:val="ListBullet"/>
      </w:pPr>
      <w:r>
        <w:t>Data is kept for the period in the retention schedule (appendix A) and then deleted or destroyed in a way that cannot be recovered. Paper containing Restricted or Confidential data is shredded. Devices are wiped with a documented method before disposal, resale or return.</w:t>
      </w:r>
    </w:p>
    <w:p>
      <w:pPr>
        <w:pStyle w:val="ListBullet"/>
      </w:pPr>
      <w:r>
        <w:t>Where a law or contract sets a retention period or a deletion right, that requirement overrides the schedule.</w:t>
      </w:r>
    </w:p>
    <w:p>
      <w:r>
        <w:rPr>
          <w:i/>
        </w:rPr>
        <w:t>Guidance: Minimum: a one-page retention schedule, a secure file-sharing method everyone knows how to use, and a rule that Restricted data never leaves company systems. Evidence: the schedule, disposal certificates, sharing settings export.</w:t>
      </w:r>
    </w:p>
    <w:p>
      <w:pPr>
        <w:pStyle w:val="Heading1"/>
      </w:pPr>
      <w:r>
        <w:t>8. Email and web security</w:t>
      </w:r>
    </w:p>
    <w:p>
      <w:pPr>
        <w:pStyle w:val="ListBullet"/>
      </w:pPr>
      <w:r>
        <w:t>Company email passes through the approved filtering service with attachment scanning, link protection and impersonation detection enabled. External messages are labeled so staff can tell them from internal mail.</w:t>
      </w:r>
    </w:p>
    <w:p>
      <w:pPr>
        <w:pStyle w:val="ListBullet"/>
      </w:pPr>
      <w:r>
        <w:t>The company domain publishes SPF and DKIM records and a DMARC policy at enforcement ([quarantine or reject]) so that criminals cannot send mail that appears to come from us.</w:t>
      </w:r>
    </w:p>
    <w:p>
      <w:pPr>
        <w:pStyle w:val="ListBullet"/>
      </w:pPr>
      <w:r>
        <w:t>Automatic mail forwarding to external addresses is blocked. Mailbox rules that hide or redirect messages are reviewed when created.</w:t>
      </w:r>
    </w:p>
    <w:p>
      <w:pPr>
        <w:pStyle w:val="ListBullet"/>
      </w:pPr>
      <w:r>
        <w:t>Payment instructions, bank detail changes and wire requests received by email are verified by a phone call to a known number before any money moves, regardless of who appears to have sent the message.</w:t>
      </w:r>
    </w:p>
    <w:p>
      <w:pPr>
        <w:pStyle w:val="ListBullet"/>
      </w:pPr>
      <w:r>
        <w:t>Web filtering on managed devices blocks known malicious sites and categories the company has decided are not appropriate for work. Browsers are kept current under section 5 and only approved extensions are installed.</w:t>
      </w:r>
    </w:p>
    <w:p>
      <w:pPr>
        <w:pStyle w:val="ListBullet"/>
      </w:pPr>
      <w:r>
        <w:t>Staff report suspicious messages with the report button or to [security@company]. Nobody is disciplined for reporting a message that turns out to be legitimate.</w:t>
      </w:r>
    </w:p>
    <w:p>
      <w:r>
        <w:rPr>
          <w:i/>
        </w:rPr>
        <w:t>Guidance: Minimum: DMARC at enforcement, external sender labels, forwarding blocked, and a verbal verification rule for payments. Evidence: DMARC report, filtering policy export, a written payment verification procedure.</w:t>
      </w:r>
    </w:p>
    <w:p>
      <w:pPr>
        <w:pStyle w:val="Heading1"/>
      </w:pPr>
      <w:r>
        <w:t>9. Backup and recovery</w:t>
      </w:r>
    </w:p>
    <w:p>
      <w:pPr>
        <w:pStyle w:val="ListBullet"/>
      </w:pPr>
      <w:r>
        <w:t>Every system the company depends on is backed up according to the 3-2-1 rule: at least three copies of the data, on two different types of storage, with at least one copy off site.</w:t>
      </w:r>
    </w:p>
    <w:p>
      <w:pPr>
        <w:pStyle w:val="ListBullet"/>
      </w:pPr>
      <w:r>
        <w:t>At least one backup copy is immutable or otherwise protected so that it cannot be altered or deleted by an attacker who holds administrator credentials, for [a retention period at least as long as the time it would take to discover a compromise, minimum 30 days].</w:t>
      </w:r>
    </w:p>
    <w:p>
      <w:pPr>
        <w:pStyle w:val="ListBullet"/>
      </w:pPr>
      <w:r>
        <w:t>Microsoft 365 or Google Workspace data (mail, files, Teams or Chat, contacts and calendars) is backed up by a separate service; the platform's own retention is not treated as a backup.</w:t>
      </w:r>
    </w:p>
    <w:p>
      <w:pPr>
        <w:pStyle w:val="ListBullet"/>
      </w:pPr>
      <w:r>
        <w:t>Backups are encrypted, and backup credentials are separate from everyday administrator credentials and protected by MFA.</w:t>
      </w:r>
    </w:p>
    <w:p>
      <w:pPr>
        <w:pStyle w:val="ListBullet"/>
      </w:pPr>
      <w:r>
        <w:t>Backup jobs are monitored daily and failures are investigated the same business day.</w:t>
      </w:r>
    </w:p>
    <w:p>
      <w:pPr>
        <w:pStyle w:val="ListBullet"/>
      </w:pPr>
      <w:r>
        <w:t>Restore tests: a file-level restore is tested every [month], and a full system or server restore is tested every [quarter], timed, and recorded with the result and the time taken. The recorded times are compared with the recovery objectives in the IT disaster recovery plan.</w:t>
      </w:r>
    </w:p>
    <w:p>
      <w:pPr>
        <w:pStyle w:val="ListBullet"/>
      </w:pPr>
      <w:r>
        <w:t>Recovery objectives (how quickly each system must be back and how much data may be lost) are set by the business owners and recorded in the disaster recovery plan, version [x].</w:t>
      </w:r>
    </w:p>
    <w:p>
      <w:r>
        <w:rPr>
          <w:i/>
        </w:rPr>
        <w:t>Guidance: Minimum: 3-2-1 with one immutable copy, a separate cloud backup, and a quarterly timed restore test that is written down. Evidence: backup job reports, restore test log, disaster recovery plan. Guides: netsysgroup.com/blog/business-continuity-plan-template and netsysgroup.com/blog/it-disaster-recovery-plan-template.</w:t>
      </w:r>
    </w:p>
    <w:p>
      <w:pPr>
        <w:pStyle w:val="Heading1"/>
      </w:pPr>
      <w:r>
        <w:t>10. Logging and monitoring</w:t>
      </w:r>
    </w:p>
    <w:p>
      <w:pPr>
        <w:pStyle w:val="ListBullet"/>
      </w:pPr>
      <w:r>
        <w:t>Sign-in, administrative and audit logs are enabled on identity, email, file, firewall and EDR systems and retained for at least [90 days online, 1 year in archive].</w:t>
      </w:r>
    </w:p>
    <w:p>
      <w:pPr>
        <w:pStyle w:val="ListBullet"/>
      </w:pPr>
      <w:r>
        <w:t>Alerts for high-risk events (impossible travel, new mail forwarding rules, privilege changes, mass file deletion or encryption, EDR detections, disabled security tools) are reviewed by [the managed detection and response provider or the security administrator] [24 hours a day, 7 days a week].</w:t>
      </w:r>
    </w:p>
    <w:p>
      <w:pPr>
        <w:pStyle w:val="ListBullet"/>
      </w:pPr>
      <w:r>
        <w:t>Logs are protected from alteration by the people whose actions they record.</w:t>
      </w:r>
    </w:p>
    <w:p>
      <w:pPr>
        <w:pStyle w:val="ListBullet"/>
      </w:pPr>
      <w:r>
        <w:t>Log review findings that indicate an incident move to section 14 at once.</w:t>
      </w:r>
    </w:p>
    <w:p>
      <w:r>
        <w:rPr>
          <w:i/>
        </w:rPr>
        <w:t>Guidance: Minimum: audit logging turned on in the identity platform and email, EDR alerts going to someone who is awake, and a 90-day retention. Evidence: retention settings, a sample of reviewed alerts with outcomes.</w:t>
      </w:r>
    </w:p>
    <w:p>
      <w:pPr>
        <w:pStyle w:val="Heading1"/>
      </w:pPr>
      <w:r>
        <w:t>11. Vulnerability management</w:t>
      </w:r>
    </w:p>
    <w:p>
      <w:pPr>
        <w:pStyle w:val="ListBullet"/>
      </w:pPr>
      <w:r>
        <w:t>The company keeps an inventory of hardware, software and cloud services in use, reviewed every [quarter]. Unknown devices on the network are investigated within [1 business day].</w:t>
      </w:r>
    </w:p>
    <w:p>
      <w:pPr>
        <w:pStyle w:val="ListBullet"/>
      </w:pPr>
      <w:r>
        <w:t>Authenticated vulnerability scans run against internal systems every [month] and against internet-facing systems every [week or month], and after any significant change.</w:t>
      </w:r>
    </w:p>
    <w:p>
      <w:pPr>
        <w:pStyle w:val="ListBullet"/>
      </w:pPr>
      <w:r>
        <w:t>Findings are fixed within the patching windows in section 5 by severity: critical or actively exploited within [72 hours], high within [14 days], medium within [30 days], low at the next maintenance cycle. Findings that cannot be fixed in time go through section 17.</w:t>
      </w:r>
    </w:p>
    <w:p>
      <w:pPr>
        <w:pStyle w:val="ListBullet"/>
      </w:pPr>
      <w:r>
        <w:t>An external penetration test is performed [annually] and after major changes to internet-facing systems, with findings tracked to closure.</w:t>
      </w:r>
    </w:p>
    <w:p>
      <w:pPr>
        <w:pStyle w:val="ListBullet"/>
      </w:pPr>
      <w:r>
        <w:t>Systems are configured to a documented secure baseline, and configuration drift is corrected when found.</w:t>
      </w:r>
    </w:p>
    <w:p>
      <w:r>
        <w:rPr>
          <w:i/>
        </w:rPr>
        <w:t>Guidance: Minimum: a current asset list, monthly scans, severity-based fix windows, and one external test a year. Evidence: inventory export, scan reports showing trend, penetration test report and retest.</w:t>
      </w:r>
    </w:p>
    <w:p>
      <w:pPr>
        <w:pStyle w:val="Heading1"/>
      </w:pPr>
      <w:r>
        <w:t>12. Vendor and third-party security</w:t>
      </w:r>
    </w:p>
    <w:p>
      <w:pPr>
        <w:pStyle w:val="ListBullet"/>
      </w:pPr>
      <w:r>
        <w:t>Before a vendor receives company data or access, the data owner and the policy owner review the vendor's security posture in proportion to the data involved, using the vendor security questionnaire for Restricted and Confidential data.</w:t>
      </w:r>
    </w:p>
    <w:p>
      <w:pPr>
        <w:pStyle w:val="ListBullet"/>
      </w:pPr>
      <w:r>
        <w:t>Contracts with vendors that handle Restricted data include confidentiality, security requirements, incident notification within [72 hours], subprocessor disclosure, and data return or deletion at the end of the relationship. Where a regulation requires a specific agreement (for example a HIPAA business associate agreement), it is signed before any data is shared.</w:t>
      </w:r>
    </w:p>
    <w:p>
      <w:pPr>
        <w:pStyle w:val="ListBullet"/>
      </w:pPr>
      <w:r>
        <w:t>Vendor accounts and remote access follow section 4: named accounts, MFA, least privilege, and removal when the engagement ends.</w:t>
      </w:r>
    </w:p>
    <w:p>
      <w:pPr>
        <w:pStyle w:val="ListBullet"/>
      </w:pPr>
      <w:r>
        <w:t>The vendor list and each vendor's access are reviewed every [6 months] as part of the access review.</w:t>
      </w:r>
    </w:p>
    <w:p>
      <w:r>
        <w:rPr>
          <w:i/>
        </w:rPr>
        <w:t>Guidance: Minimum: a list of every third party with a login or with company data, a short questionnaire for the important ones, and review twice a year. Evidence: vendor register, signed agreements, completed questionnaires. Template: netsysgroup.com/blog/vendor-security-questionnaire-template.</w:t>
      </w:r>
    </w:p>
    <w:p>
      <w:pPr>
        <w:pStyle w:val="Heading1"/>
      </w:pPr>
      <w:r>
        <w:t>13. Security awareness training</w:t>
      </w:r>
    </w:p>
    <w:p>
      <w:pPr>
        <w:pStyle w:val="ListBullet"/>
      </w:pPr>
      <w:r>
        <w:t>Every person in scope completes security awareness training within [2 weeks] of starting and at least [annually] thereafter, covering phishing and social engineering (including AI-written messages and voice or video impersonation), password and MFA practice, data handling, safe use of AI tools, and how to report an incident.</w:t>
      </w:r>
    </w:p>
    <w:p>
      <w:pPr>
        <w:pStyle w:val="ListBullet"/>
      </w:pPr>
      <w:r>
        <w:t>Phishing simulations run at least [quarterly]. Results are used for coaching and to adjust training, not for public ranking or punishment.</w:t>
      </w:r>
    </w:p>
    <w:p>
      <w:pPr>
        <w:pStyle w:val="ListBullet"/>
      </w:pPr>
      <w:r>
        <w:t>People with administrative or financial duties receive role-specific training on the threats and controls that apply to them.</w:t>
      </w:r>
    </w:p>
    <w:p>
      <w:pPr>
        <w:pStyle w:val="ListBullet"/>
      </w:pPr>
      <w:r>
        <w:t>Training completion is recorded and reported to the policy owner.</w:t>
      </w:r>
    </w:p>
    <w:p>
      <w:r>
        <w:rPr>
          <w:i/>
        </w:rPr>
        <w:t>Guidance: Minimum: onboarding plus annual training, quarterly simulations, a completion record. Evidence: training completion report, simulation summaries.</w:t>
      </w:r>
    </w:p>
    <w:p>
      <w:pPr>
        <w:pStyle w:val="Heading1"/>
      </w:pPr>
      <w:r>
        <w:t>14. Incident response</w:t>
      </w:r>
    </w:p>
    <w:p>
      <w:r>
        <w:t>A security incident is any event that compromises, or could compromise, the confidentiality, integrity or availability of company systems or data, including a lost device, a phished account, malware, ransomware, unauthorized access, or data sent to the wrong recipient.</w:t>
      </w:r>
    </w:p>
    <w:tbl>
      <w:tblPr>
        <w:tblStyle w:val="TableGrid"/>
        <w:tblW w:type="auto" w:w="0"/>
        <w:tblLook w:firstColumn="1" w:firstRow="1" w:lastColumn="0" w:lastRow="0" w:noHBand="0" w:noVBand="1" w:val="04A0"/>
      </w:tblPr>
      <w:tblGrid>
        <w:gridCol w:w="2880"/>
        <w:gridCol w:w="2880"/>
        <w:gridCol w:w="2880"/>
      </w:tblGrid>
      <w:tr>
        <w:tc>
          <w:tcPr>
            <w:tcW w:type="dxa" w:w="2551"/>
            <w:shd w:val="clear" w:color="auto" w:fill="EEF2F7"/>
          </w:tcPr>
          <w:p>
            <w:r/>
            <w:r>
              <w:rPr>
                <w:b/>
              </w:rPr>
              <w:t>Role during an incident</w:t>
            </w:r>
          </w:p>
        </w:tc>
        <w:tc>
          <w:tcPr>
            <w:tcW w:type="dxa" w:w="2551"/>
            <w:shd w:val="clear" w:color="auto" w:fill="EEF2F7"/>
          </w:tcPr>
          <w:p>
            <w:r/>
            <w:r>
              <w:rPr>
                <w:b/>
              </w:rPr>
              <w:t>Held by</w:t>
            </w:r>
          </w:p>
        </w:tc>
        <w:tc>
          <w:tcPr>
            <w:tcW w:type="dxa" w:w="4252"/>
            <w:shd w:val="clear" w:color="auto" w:fill="EEF2F7"/>
          </w:tcPr>
          <w:p>
            <w:r/>
            <w:r>
              <w:rPr>
                <w:b/>
              </w:rPr>
              <w:t>Responsibilities</w:t>
            </w:r>
          </w:p>
        </w:tc>
      </w:tr>
      <w:tr>
        <w:tc>
          <w:tcPr>
            <w:tcW w:type="dxa" w:w="2551"/>
          </w:tcPr>
          <w:p>
            <w:r>
              <w:t>Incident lead</w:t>
            </w:r>
          </w:p>
        </w:tc>
        <w:tc>
          <w:tcPr>
            <w:tcW w:type="dxa" w:w="2551"/>
          </w:tcPr>
          <w:p>
            <w:r>
              <w:t>[Policy owner or delegate]</w:t>
            </w:r>
          </w:p>
        </w:tc>
        <w:tc>
          <w:tcPr>
            <w:tcW w:type="dxa" w:w="4252"/>
          </w:tcPr>
          <w:p>
            <w:r>
              <w:t>Declares the incident, runs the response, decides on containment steps that affect the business, and approves communications</w:t>
            </w:r>
          </w:p>
        </w:tc>
      </w:tr>
      <w:tr>
        <w:tc>
          <w:tcPr>
            <w:tcW w:type="dxa" w:w="2551"/>
          </w:tcPr>
          <w:p>
            <w:r>
              <w:t>Technical lead</w:t>
            </w:r>
          </w:p>
        </w:tc>
        <w:tc>
          <w:tcPr>
            <w:tcW w:type="dxa" w:w="2551"/>
          </w:tcPr>
          <w:p>
            <w:r>
              <w:t>[Security administrator or managed IT provider]</w:t>
            </w:r>
          </w:p>
        </w:tc>
        <w:tc>
          <w:tcPr>
            <w:tcW w:type="dxa" w:w="4252"/>
          </w:tcPr>
          <w:p>
            <w:r>
              <w:t>Contains, investigates and recovers; preserves evidence; keeps the technical timeline</w:t>
            </w:r>
          </w:p>
        </w:tc>
      </w:tr>
      <w:tr>
        <w:tc>
          <w:tcPr>
            <w:tcW w:type="dxa" w:w="2551"/>
          </w:tcPr>
          <w:p>
            <w:r>
              <w:t>Communications</w:t>
            </w:r>
          </w:p>
        </w:tc>
        <w:tc>
          <w:tcPr>
            <w:tcW w:type="dxa" w:w="2551"/>
          </w:tcPr>
          <w:p>
            <w:r>
              <w:t>[Executive]</w:t>
            </w:r>
          </w:p>
        </w:tc>
        <w:tc>
          <w:tcPr>
            <w:tcW w:type="dxa" w:w="4252"/>
          </w:tcPr>
          <w:p>
            <w:r>
              <w:t>Internal updates, customer or patient communications, and media if required</w:t>
            </w:r>
          </w:p>
        </w:tc>
      </w:tr>
      <w:tr>
        <w:tc>
          <w:tcPr>
            <w:tcW w:type="dxa" w:w="2551"/>
          </w:tcPr>
          <w:p>
            <w:r>
              <w:t>Legal and compliance</w:t>
            </w:r>
          </w:p>
        </w:tc>
        <w:tc>
          <w:tcPr>
            <w:tcW w:type="dxa" w:w="2551"/>
          </w:tcPr>
          <w:p>
            <w:r>
              <w:t>[Counsel]</w:t>
            </w:r>
          </w:p>
        </w:tc>
        <w:tc>
          <w:tcPr>
            <w:tcW w:type="dxa" w:w="4252"/>
          </w:tcPr>
          <w:p>
            <w:r>
              <w:t>Advises on notification duties and privilege; coordinates with the cyber insurer</w:t>
            </w:r>
          </w:p>
        </w:tc>
      </w:tr>
      <w:tr>
        <w:tc>
          <w:tcPr>
            <w:tcW w:type="dxa" w:w="2551"/>
          </w:tcPr>
          <w:p>
            <w:r>
              <w:t>Record keeper</w:t>
            </w:r>
          </w:p>
        </w:tc>
        <w:tc>
          <w:tcPr>
            <w:tcW w:type="dxa" w:w="2551"/>
          </w:tcPr>
          <w:p>
            <w:r>
              <w:t>[Named person]</w:t>
            </w:r>
          </w:p>
        </w:tc>
        <w:tc>
          <w:tcPr>
            <w:tcW w:type="dxa" w:w="4252"/>
          </w:tcPr>
          <w:p>
            <w:r>
              <w:t>Maintains the incident log: times, decisions, who did what, evidence collected</w:t>
            </w:r>
          </w:p>
        </w:tc>
      </w:tr>
    </w:tbl>
    <w:p/>
    <w:p>
      <w:pPr>
        <w:pStyle w:val="ListBullet"/>
      </w:pPr>
      <w:r>
        <w:t>Reporting: everyone reports suspected incidents immediately to [security@company or phone number], day or night. Reporting is never penalized.</w:t>
      </w:r>
    </w:p>
    <w:p>
      <w:pPr>
        <w:pStyle w:val="ListBullet"/>
      </w:pPr>
      <w:r>
        <w:t>First steps: the technical lead isolates affected devices and accounts, resets credentials, and preserves logs and images before any system is rebuilt. Devices are not wiped and ransom notes are not deleted until evidence is preserved.</w:t>
      </w:r>
    </w:p>
    <w:p>
      <w:pPr>
        <w:pStyle w:val="ListBullet"/>
      </w:pPr>
      <w:r>
        <w:t>Notification: the incident lead, with counsel, determines whether individuals, regulators, customers, the cyber insurer or law enforcement must be told, and within what time, as required by applicable law or contract. The cyber insurer is contacted according to the policy's notice terms before engaging outside responders where the policy requires it.</w:t>
      </w:r>
    </w:p>
    <w:p>
      <w:pPr>
        <w:pStyle w:val="ListBullet"/>
      </w:pPr>
      <w:r>
        <w:t>Evidence: the incident log, preserved logs and images, and copies of all communications are retained for at least [3 years] or longer where counsel directs.</w:t>
      </w:r>
    </w:p>
    <w:p>
      <w:pPr>
        <w:pStyle w:val="ListBullet"/>
      </w:pPr>
      <w:r>
        <w:t>Lessons learned: within [2 weeks] of closing an incident, the incident lead holds a review, records root cause and corrective actions with owners and due dates, and updates this policy where needed.</w:t>
      </w:r>
    </w:p>
    <w:p>
      <w:pPr>
        <w:pStyle w:val="ListBullet"/>
      </w:pPr>
      <w:r>
        <w:t>The detailed procedures, contact list and decision checklist are in the Incident Response Plan, version [x], a printed copy of which is kept at [location].</w:t>
      </w:r>
    </w:p>
    <w:p>
      <w:r>
        <w:rPr>
          <w:i/>
        </w:rPr>
        <w:t>Guidance: Minimum: a one-page contact and first-steps sheet printed and kept off the network, named roles, and a rule that evidence is preserved before rebuilding. Many laws and contracts impose notification deadlines measured in hours or days; counsel confirms which apply. Guide: netsysgroup.com/blog/incident-response-plan-small-business.</w:t>
      </w:r>
    </w:p>
    <w:p>
      <w:pPr>
        <w:pStyle w:val="Heading1"/>
      </w:pPr>
      <w:r>
        <w:t>15. Business continuity and disaster recovery</w:t>
      </w:r>
    </w:p>
    <w:p>
      <w:r>
        <w:t>The company maintains a business continuity plan and an IT disaster recovery plan that identify critical processes and systems, set recovery objectives, and describe how work continues and systems are restored. Both plans are exercised at least [annually] and after major changes. Backup requirements are in section 9.</w:t>
      </w:r>
    </w:p>
    <w:p>
      <w:pPr>
        <w:pStyle w:val="Heading1"/>
      </w:pPr>
      <w:r>
        <w:t>16. Physical security</w:t>
      </w:r>
    </w:p>
    <w:p>
      <w:pPr>
        <w:pStyle w:val="ListBullet"/>
      </w:pPr>
      <w:r>
        <w:t>Servers and network equipment are kept in a locked room or cabinet with access limited to [named roles]. Visitors to these areas are escorted.</w:t>
      </w:r>
    </w:p>
    <w:p>
      <w:pPr>
        <w:pStyle w:val="ListBullet"/>
      </w:pPr>
      <w:r>
        <w:t>Screens are locked when unattended and positioned so that Restricted data is not visible to visitors. Paper with Restricted or Confidential data is stored in locked cabinets and shredded when no longer needed.</w:t>
      </w:r>
    </w:p>
    <w:p>
      <w:pPr>
        <w:pStyle w:val="ListBullet"/>
      </w:pPr>
      <w:r>
        <w:t>Office access cards and keys are returned or deactivated as part of the leaver process in section 4.</w:t>
      </w:r>
    </w:p>
    <w:p>
      <w:pPr>
        <w:pStyle w:val="Heading1"/>
      </w:pPr>
      <w:r>
        <w:t>17. Exceptions</w:t>
      </w:r>
    </w:p>
    <w:p>
      <w:r>
        <w:t>Any departure from this policy requires a written exception approved by the policy owner, recording the requirement, the business reason, the compensating controls, the risk accepted, the person accepting it, and an expiry date no more than [12 months] away. Exceptions are kept in the exception register (appendix B) and reviewed at every policy review.</w:t>
      </w:r>
    </w:p>
    <w:p>
      <w:pPr>
        <w:pStyle w:val="Heading1"/>
      </w:pPr>
      <w:r>
        <w:t>18. Policy review</w:t>
      </w:r>
    </w:p>
    <w:p>
      <w:r>
        <w:t>The policy owner reviews this policy at least annually, after any significant security incident, and after major changes such as a new line-of-business system, an office move, a merger or acquisition, a change of IT provider, or a new regulatory or contractual obligation. Each review is recorded in the approval record below, whether or not changes were made. The policy owner reports to [leadership or the board] at least annually on the state of the program, open exceptions and incidents.</w:t>
      </w:r>
    </w:p>
    <w:p>
      <w:pPr>
        <w:pStyle w:val="Heading1"/>
      </w:pPr>
      <w:r>
        <w:t>19. Enforcement</w:t>
      </w:r>
    </w:p>
    <w:p>
      <w:r>
        <w:t>Compliance with this policy is a condition of employment and of every vendor contract. Violations are handled through the company's disciplinary process in proportion to the harm and intent, up to and including termination of employment or contract, and referral to law enforcement where the law requires or permits it. Suspected violations are reported to the policy owner or [HR]. Good-faith reports of mistakes are treated as incidents to learn from, not as violations.</w:t>
      </w:r>
    </w:p>
    <w:p>
      <w:pPr>
        <w:pStyle w:val="Heading1"/>
      </w:pPr>
      <w:r>
        <w:t>20. Related documents</w:t>
      </w:r>
    </w:p>
    <w:p>
      <w:pPr>
        <w:pStyle w:val="ListBullet"/>
      </w:pPr>
      <w:r>
        <w:t>Acceptable Use Policy, version [x]</w:t>
      </w:r>
    </w:p>
    <w:p>
      <w:pPr>
        <w:pStyle w:val="ListBullet"/>
      </w:pPr>
      <w:r>
        <w:t>Incident Response Plan, version [x]</w:t>
      </w:r>
    </w:p>
    <w:p>
      <w:pPr>
        <w:pStyle w:val="ListBullet"/>
      </w:pPr>
      <w:r>
        <w:t>IT Disaster Recovery Plan and Business Continuity Plan, versions [x]</w:t>
      </w:r>
    </w:p>
    <w:p>
      <w:pPr>
        <w:pStyle w:val="ListBullet"/>
      </w:pPr>
      <w:r>
        <w:t>Data retention schedule (appendix A) and exception register (appendix B)</w:t>
      </w:r>
    </w:p>
    <w:p>
      <w:pPr>
        <w:pStyle w:val="ListBullet"/>
      </w:pPr>
      <w:r>
        <w:t>Vendor security questionnaire and vendor register</w:t>
      </w:r>
    </w:p>
    <w:p>
      <w:pPr>
        <w:pStyle w:val="ListBullet"/>
      </w:pPr>
      <w:r>
        <w:t>Employee handbook and disciplinary procedure</w:t>
      </w:r>
    </w:p>
    <w:p>
      <w:pPr>
        <w:pStyle w:val="Heading1"/>
      </w:pPr>
      <w:r>
        <w:t>Approval record</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shd w:val="clear" w:color="auto" w:fill="EEF2F7"/>
          </w:tcPr>
          <w:p>
            <w:r/>
            <w:r>
              <w:rPr>
                <w:b/>
              </w:rPr>
              <w:t>Version</w:t>
            </w:r>
          </w:p>
        </w:tc>
        <w:tc>
          <w:tcPr>
            <w:tcW w:type="dxa" w:w="1728"/>
            <w:shd w:val="clear" w:color="auto" w:fill="EEF2F7"/>
          </w:tcPr>
          <w:p>
            <w:r/>
            <w:r>
              <w:rPr>
                <w:b/>
              </w:rPr>
              <w:t>Date</w:t>
            </w:r>
          </w:p>
        </w:tc>
        <w:tc>
          <w:tcPr>
            <w:tcW w:type="dxa" w:w="1728"/>
            <w:shd w:val="clear" w:color="auto" w:fill="EEF2F7"/>
          </w:tcPr>
          <w:p>
            <w:r/>
            <w:r>
              <w:rPr>
                <w:b/>
              </w:rPr>
              <w:t>Summary of changes</w:t>
            </w:r>
          </w:p>
        </w:tc>
        <w:tc>
          <w:tcPr>
            <w:tcW w:type="dxa" w:w="1728"/>
            <w:shd w:val="clear" w:color="auto" w:fill="EEF2F7"/>
          </w:tcPr>
          <w:p>
            <w:r/>
            <w:r>
              <w:rPr>
                <w:b/>
              </w:rPr>
              <w:t>Prepared by</w:t>
            </w:r>
          </w:p>
        </w:tc>
        <w:tc>
          <w:tcPr>
            <w:tcW w:type="dxa" w:w="1728"/>
            <w:shd w:val="clear" w:color="auto" w:fill="EEF2F7"/>
          </w:tcPr>
          <w:p>
            <w:r/>
            <w:r>
              <w:rPr>
                <w:b/>
              </w:rPr>
              <w:t>Approved by (name, title, signature)</w:t>
            </w:r>
          </w:p>
        </w:tc>
      </w:tr>
      <w:tr>
        <w:tc>
          <w:tcPr>
            <w:tcW w:type="dxa" w:w="1728"/>
          </w:tcPr>
          <w:p>
            <w:r>
              <w:t>[1.0]</w:t>
            </w:r>
          </w:p>
        </w:tc>
        <w:tc>
          <w:tcPr>
            <w:tcW w:type="dxa" w:w="1728"/>
          </w:tcPr>
          <w:p>
            <w:r>
              <w:t>[date]</w:t>
            </w:r>
          </w:p>
        </w:tc>
        <w:tc>
          <w:tcPr>
            <w:tcW w:type="dxa" w:w="1728"/>
          </w:tcPr>
          <w:p>
            <w:r>
              <w:t>Initial policy adopted</w:t>
            </w:r>
          </w:p>
        </w:tc>
        <w:tc>
          <w:tcPr>
            <w:tcW w:type="dxa" w:w="1728"/>
          </w:tcPr>
          <w:p>
            <w:r>
              <w:t>[name]</w:t>
            </w:r>
          </w:p>
        </w:tc>
        <w:tc>
          <w:tcPr>
            <w:tcW w:type="dxa" w:w="1728"/>
          </w:tcPr>
          <w:p>
            <w:r>
              <w:t>[ ]</w:t>
            </w:r>
          </w:p>
        </w:tc>
      </w:tr>
      <w:tr>
        <w:tc>
          <w:tcPr>
            <w:tcW w:type="dxa" w:w="1728"/>
          </w:tcPr>
          <w:p>
            <w:r>
              <w:t>[ ]</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 ]</w:t>
            </w:r>
          </w:p>
        </w:tc>
        <w:tc>
          <w:tcPr>
            <w:tcW w:type="dxa" w:w="1728"/>
          </w:tcPr>
          <w:p>
            <w:r>
              <w:t>[ ]</w:t>
            </w:r>
          </w:p>
        </w:tc>
        <w:tc>
          <w:tcPr>
            <w:tcW w:type="dxa" w:w="1728"/>
          </w:tcPr>
          <w:p>
            <w:r>
              <w:t>[ ]</w:t>
            </w:r>
          </w:p>
        </w:tc>
        <w:tc>
          <w:tcPr>
            <w:tcW w:type="dxa" w:w="1728"/>
          </w:tcPr>
          <w:p>
            <w:r>
              <w:t>[ ]</w:t>
            </w:r>
          </w:p>
        </w:tc>
        <w:tc>
          <w:tcPr>
            <w:tcW w:type="dxa" w:w="1728"/>
          </w:tcPr>
          <w:p>
            <w:r>
              <w:t>[ ]</w:t>
            </w:r>
          </w:p>
        </w:tc>
      </w:tr>
      <w:tr>
        <w:tc>
          <w:tcPr>
            <w:tcW w:type="dxa" w:w="1728"/>
          </w:tcPr>
          <w:p>
            <w:r>
              <w:t>[ ]</w:t>
            </w:r>
          </w:p>
        </w:tc>
        <w:tc>
          <w:tcPr>
            <w:tcW w:type="dxa" w:w="1728"/>
          </w:tcPr>
          <w:p>
            <w:r>
              <w:t>[ ]</w:t>
            </w:r>
          </w:p>
        </w:tc>
        <w:tc>
          <w:tcPr>
            <w:tcW w:type="dxa" w:w="1728"/>
          </w:tcPr>
          <w:p>
            <w:r>
              <w:t>[ ]</w:t>
            </w:r>
          </w:p>
        </w:tc>
        <w:tc>
          <w:tcPr>
            <w:tcW w:type="dxa" w:w="1728"/>
          </w:tcPr>
          <w:p>
            <w:r>
              <w:t>[ ]</w:t>
            </w:r>
          </w:p>
        </w:tc>
        <w:tc>
          <w:tcPr>
            <w:tcW w:type="dxa" w:w="1728"/>
          </w:tcPr>
          <w:p>
            <w:r>
              <w:t>[ ]</w:t>
            </w:r>
          </w:p>
        </w:tc>
      </w:tr>
    </w:tbl>
    <w:p/>
    <w:tbl>
      <w:tblPr>
        <w:tblStyle w:val="TableGrid"/>
        <w:tblW w:type="auto" w:w="0"/>
        <w:tblLook w:firstColumn="1" w:firstRow="1" w:lastColumn="0" w:lastRow="0" w:noHBand="0" w:noVBand="1" w:val="04A0"/>
      </w:tblPr>
      <w:tblGrid>
        <w:gridCol w:w="2160"/>
        <w:gridCol w:w="2160"/>
        <w:gridCol w:w="2160"/>
        <w:gridCol w:w="2160"/>
      </w:tblGrid>
      <w:tr>
        <w:tc>
          <w:tcPr>
            <w:tcW w:type="dxa" w:w="2160"/>
            <w:shd w:val="clear" w:color="auto" w:fill="EEF2F7"/>
          </w:tcPr>
          <w:p>
            <w:r/>
            <w:r>
              <w:rPr>
                <w:b/>
              </w:rPr>
              <w:t>Review record</w:t>
            </w:r>
          </w:p>
        </w:tc>
        <w:tc>
          <w:tcPr>
            <w:tcW w:type="dxa" w:w="2160"/>
            <w:shd w:val="clear" w:color="auto" w:fill="EEF2F7"/>
          </w:tcPr>
          <w:p>
            <w:r/>
            <w:r>
              <w:rPr>
                <w:b/>
              </w:rPr>
              <w:t>Date</w:t>
            </w:r>
          </w:p>
        </w:tc>
        <w:tc>
          <w:tcPr>
            <w:tcW w:type="dxa" w:w="2160"/>
            <w:shd w:val="clear" w:color="auto" w:fill="EEF2F7"/>
          </w:tcPr>
          <w:p>
            <w:r/>
            <w:r>
              <w:rPr>
                <w:b/>
              </w:rPr>
              <w:t>Reviewed by</w:t>
            </w:r>
          </w:p>
        </w:tc>
        <w:tc>
          <w:tcPr>
            <w:tcW w:type="dxa" w:w="2160"/>
            <w:shd w:val="clear" w:color="auto" w:fill="EEF2F7"/>
          </w:tcPr>
          <w:p>
            <w:r/>
            <w:r>
              <w:rPr>
                <w:b/>
              </w:rPr>
              <w:t>Outcome (no change / revised to version x)</w:t>
            </w:r>
          </w:p>
        </w:tc>
      </w:tr>
      <w:tr>
        <w:tc>
          <w:tcPr>
            <w:tcW w:type="dxa" w:w="2160"/>
          </w:tcPr>
          <w:p>
            <w:r>
              <w:t>Annual review</w:t>
            </w:r>
          </w:p>
        </w:tc>
        <w:tc>
          <w:tcPr>
            <w:tcW w:type="dxa" w:w="2160"/>
          </w:tcPr>
          <w:p>
            <w:r>
              <w:t>[ ]</w:t>
            </w:r>
          </w:p>
        </w:tc>
        <w:tc>
          <w:tcPr>
            <w:tcW w:type="dxa" w:w="2160"/>
          </w:tcPr>
          <w:p>
            <w:r>
              <w:t>[ ]</w:t>
            </w:r>
          </w:p>
        </w:tc>
        <w:tc>
          <w:tcPr>
            <w:tcW w:type="dxa" w:w="2160"/>
          </w:tcPr>
          <w:p>
            <w:r>
              <w:t>[ ]</w:t>
            </w:r>
          </w:p>
        </w:tc>
      </w:tr>
      <w:tr>
        <w:tc>
          <w:tcPr>
            <w:tcW w:type="dxa" w:w="2160"/>
          </w:tcPr>
          <w:p>
            <w:r>
              <w:t>Post-incident review</w:t>
            </w:r>
          </w:p>
        </w:tc>
        <w:tc>
          <w:tcPr>
            <w:tcW w:type="dxa" w:w="2160"/>
          </w:tcPr>
          <w:p>
            <w:r>
              <w:t>[ ]</w:t>
            </w:r>
          </w:p>
        </w:tc>
        <w:tc>
          <w:tcPr>
            <w:tcW w:type="dxa" w:w="2160"/>
          </w:tcPr>
          <w:p>
            <w:r>
              <w:t>[ ]</w:t>
            </w:r>
          </w:p>
        </w:tc>
        <w:tc>
          <w:tcPr>
            <w:tcW w:type="dxa" w:w="2160"/>
          </w:tcPr>
          <w:p>
            <w:r>
              <w:t>[ ]</w:t>
            </w:r>
          </w:p>
        </w:tc>
      </w:tr>
      <w:tr>
        <w:tc>
          <w:tcPr>
            <w:tcW w:type="dxa" w:w="2160"/>
          </w:tcPr>
          <w:p>
            <w:r>
              <w:t>Major change review</w:t>
            </w:r>
          </w:p>
        </w:tc>
        <w:tc>
          <w:tcPr>
            <w:tcW w:type="dxa" w:w="2160"/>
          </w:tcPr>
          <w:p>
            <w:r>
              <w:t>[ ]</w:t>
            </w:r>
          </w:p>
        </w:tc>
        <w:tc>
          <w:tcPr>
            <w:tcW w:type="dxa" w:w="2160"/>
          </w:tcPr>
          <w:p>
            <w:r>
              <w:t>[ ]</w:t>
            </w:r>
          </w:p>
        </w:tc>
        <w:tc>
          <w:tcPr>
            <w:tcW w:type="dxa" w:w="2160"/>
          </w:tcPr>
          <w:p>
            <w:r>
              <w:t>[ ]</w:t>
            </w:r>
          </w:p>
        </w:tc>
      </w:tr>
    </w:tbl>
    <w:p/>
    <w:p>
      <w:pPr>
        <w:pStyle w:val="Heading1"/>
      </w:pPr>
      <w:r>
        <w:t>Appendix A. Data retention schedule</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shd w:val="clear" w:color="auto" w:fill="EEF2F7"/>
          </w:tcPr>
          <w:p>
            <w:r/>
            <w:r>
              <w:rPr>
                <w:b/>
              </w:rPr>
              <w:t>Record type</w:t>
            </w:r>
          </w:p>
        </w:tc>
        <w:tc>
          <w:tcPr>
            <w:tcW w:type="dxa" w:w="1234"/>
            <w:shd w:val="clear" w:color="auto" w:fill="EEF2F7"/>
          </w:tcPr>
          <w:p>
            <w:r/>
            <w:r>
              <w:rPr>
                <w:b/>
              </w:rPr>
              <w:t>Classification</w:t>
            </w:r>
          </w:p>
        </w:tc>
        <w:tc>
          <w:tcPr>
            <w:tcW w:type="dxa" w:w="1234"/>
            <w:shd w:val="clear" w:color="auto" w:fill="EEF2F7"/>
          </w:tcPr>
          <w:p>
            <w:r/>
            <w:r>
              <w:rPr>
                <w:b/>
              </w:rPr>
              <w:t>Owner</w:t>
            </w:r>
          </w:p>
        </w:tc>
        <w:tc>
          <w:tcPr>
            <w:tcW w:type="dxa" w:w="1234"/>
            <w:shd w:val="clear" w:color="auto" w:fill="EEF2F7"/>
          </w:tcPr>
          <w:p>
            <w:r/>
            <w:r>
              <w:rPr>
                <w:b/>
              </w:rPr>
              <w:t>Where stored</w:t>
            </w:r>
          </w:p>
        </w:tc>
        <w:tc>
          <w:tcPr>
            <w:tcW w:type="dxa" w:w="1234"/>
            <w:shd w:val="clear" w:color="auto" w:fill="EEF2F7"/>
          </w:tcPr>
          <w:p>
            <w:r/>
            <w:r>
              <w:rPr>
                <w:b/>
              </w:rPr>
              <w:t>Retention period</w:t>
            </w:r>
          </w:p>
        </w:tc>
        <w:tc>
          <w:tcPr>
            <w:tcW w:type="dxa" w:w="1234"/>
            <w:shd w:val="clear" w:color="auto" w:fill="EEF2F7"/>
          </w:tcPr>
          <w:p>
            <w:r/>
            <w:r>
              <w:rPr>
                <w:b/>
              </w:rPr>
              <w:t>Legal or contractual basis</w:t>
            </w:r>
          </w:p>
        </w:tc>
        <w:tc>
          <w:tcPr>
            <w:tcW w:type="dxa" w:w="1234"/>
            <w:shd w:val="clear" w:color="auto" w:fill="EEF2F7"/>
          </w:tcPr>
          <w:p>
            <w:r/>
            <w:r>
              <w:rPr>
                <w:b/>
              </w:rPr>
              <w:t>Disposal method</w:t>
            </w:r>
          </w:p>
        </w:tc>
      </w:tr>
      <w:tr>
        <w:tc>
          <w:tcPr>
            <w:tcW w:type="dxa" w:w="1234"/>
          </w:tcPr>
          <w:p>
            <w:r>
              <w:t>[Client or patient records]</w:t>
            </w:r>
          </w:p>
        </w:tc>
        <w:tc>
          <w:tcPr>
            <w:tcW w:type="dxa" w:w="1234"/>
          </w:tcPr>
          <w:p>
            <w:r>
              <w:t>Restricted</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r>
      <w:tr>
        <w:tc>
          <w:tcPr>
            <w:tcW w:type="dxa" w:w="1234"/>
          </w:tcPr>
          <w:p>
            <w:r>
              <w:t>[Financial records]</w:t>
            </w:r>
          </w:p>
        </w:tc>
        <w:tc>
          <w:tcPr>
            <w:tcW w:type="dxa" w:w="1234"/>
          </w:tcPr>
          <w:p>
            <w:r>
              <w:t>Confidential</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r>
      <w:tr>
        <w:tc>
          <w:tcPr>
            <w:tcW w:type="dxa" w:w="1234"/>
          </w:tcPr>
          <w:p>
            <w:r>
              <w:t>[Employee records]</w:t>
            </w:r>
          </w:p>
        </w:tc>
        <w:tc>
          <w:tcPr>
            <w:tcW w:type="dxa" w:w="1234"/>
          </w:tcPr>
          <w:p>
            <w:r>
              <w:t>Restricted</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r>
      <w:tr>
        <w:tc>
          <w:tcPr>
            <w:tcW w:type="dxa" w:w="1234"/>
          </w:tcPr>
          <w:p>
            <w:r>
              <w:t>[Email]</w:t>
            </w:r>
          </w:p>
        </w:tc>
        <w:tc>
          <w:tcPr>
            <w:tcW w:type="dxa" w:w="1234"/>
          </w:tcPr>
          <w:p>
            <w:r>
              <w:t>Confidential</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r>
      <w:tr>
        <w:tc>
          <w:tcPr>
            <w:tcW w:type="dxa" w:w="1234"/>
          </w:tcPr>
          <w:p>
            <w:r>
              <w:t>[System logs]</w:t>
            </w:r>
          </w:p>
        </w:tc>
        <w:tc>
          <w:tcPr>
            <w:tcW w:type="dxa" w:w="1234"/>
          </w:tcPr>
          <w:p>
            <w:r>
              <w:t>Internal</w:t>
            </w:r>
          </w:p>
        </w:tc>
        <w:tc>
          <w:tcPr>
            <w:tcW w:type="dxa" w:w="1234"/>
          </w:tcPr>
          <w:p>
            <w:r>
              <w:t>[ ]</w:t>
            </w:r>
          </w:p>
        </w:tc>
        <w:tc>
          <w:tcPr>
            <w:tcW w:type="dxa" w:w="1234"/>
          </w:tcPr>
          <w:p>
            <w:r>
              <w:t>[ ]</w:t>
            </w:r>
          </w:p>
        </w:tc>
        <w:tc>
          <w:tcPr>
            <w:tcW w:type="dxa" w:w="1234"/>
          </w:tcPr>
          <w:p>
            <w:r>
              <w:t>[90 days online, 1 year archive]</w:t>
            </w:r>
          </w:p>
        </w:tc>
        <w:tc>
          <w:tcPr>
            <w:tcW w:type="dxa" w:w="1234"/>
          </w:tcPr>
          <w:p>
            <w:r>
              <w:t>[ ]</w:t>
            </w:r>
          </w:p>
        </w:tc>
        <w:tc>
          <w:tcPr>
            <w:tcW w:type="dxa" w:w="1234"/>
          </w:tcPr>
          <w:p>
            <w:r>
              <w:t>[ ]</w:t>
            </w:r>
          </w:p>
        </w:tc>
      </w:tr>
      <w:tr>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r>
    </w:tbl>
    <w:p/>
    <w:p>
      <w:pPr>
        <w:pStyle w:val="Heading1"/>
      </w:pPr>
      <w:r>
        <w:t>Appendix B. Exception register</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shd w:val="clear" w:color="auto" w:fill="EEF2F7"/>
          </w:tcPr>
          <w:p>
            <w:r/>
            <w:r>
              <w:rPr>
                <w:b/>
              </w:rPr>
              <w:t>ID</w:t>
            </w:r>
          </w:p>
        </w:tc>
        <w:tc>
          <w:tcPr>
            <w:tcW w:type="dxa" w:w="1234"/>
            <w:shd w:val="clear" w:color="auto" w:fill="EEF2F7"/>
          </w:tcPr>
          <w:p>
            <w:r/>
            <w:r>
              <w:rPr>
                <w:b/>
              </w:rPr>
              <w:t>Policy section</w:t>
            </w:r>
          </w:p>
        </w:tc>
        <w:tc>
          <w:tcPr>
            <w:tcW w:type="dxa" w:w="1234"/>
            <w:shd w:val="clear" w:color="auto" w:fill="EEF2F7"/>
          </w:tcPr>
          <w:p>
            <w:r/>
            <w:r>
              <w:rPr>
                <w:b/>
              </w:rPr>
              <w:t>What is excepted and why</w:t>
            </w:r>
          </w:p>
        </w:tc>
        <w:tc>
          <w:tcPr>
            <w:tcW w:type="dxa" w:w="1234"/>
            <w:shd w:val="clear" w:color="auto" w:fill="EEF2F7"/>
          </w:tcPr>
          <w:p>
            <w:r/>
            <w:r>
              <w:rPr>
                <w:b/>
              </w:rPr>
              <w:t>Compensating controls</w:t>
            </w:r>
          </w:p>
        </w:tc>
        <w:tc>
          <w:tcPr>
            <w:tcW w:type="dxa" w:w="1234"/>
            <w:shd w:val="clear" w:color="auto" w:fill="EEF2F7"/>
          </w:tcPr>
          <w:p>
            <w:r/>
            <w:r>
              <w:rPr>
                <w:b/>
              </w:rPr>
              <w:t>Risk accepted by</w:t>
            </w:r>
          </w:p>
        </w:tc>
        <w:tc>
          <w:tcPr>
            <w:tcW w:type="dxa" w:w="1234"/>
            <w:shd w:val="clear" w:color="auto" w:fill="EEF2F7"/>
          </w:tcPr>
          <w:p>
            <w:r/>
            <w:r>
              <w:rPr>
                <w:b/>
              </w:rPr>
              <w:t>Approved on</w:t>
            </w:r>
          </w:p>
        </w:tc>
        <w:tc>
          <w:tcPr>
            <w:tcW w:type="dxa" w:w="1234"/>
            <w:shd w:val="clear" w:color="auto" w:fill="EEF2F7"/>
          </w:tcPr>
          <w:p>
            <w:r/>
            <w:r>
              <w:rPr>
                <w:b/>
              </w:rPr>
              <w:t>Expires</w:t>
            </w:r>
          </w:p>
        </w:tc>
      </w:tr>
      <w:tr>
        <w:tc>
          <w:tcPr>
            <w:tcW w:type="dxa" w:w="1234"/>
          </w:tcPr>
          <w:p>
            <w:r>
              <w:t>[EX-01]</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r>
      <w:tr>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r>
      <w:tr>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c>
          <w:tcPr>
            <w:tcW w:type="dxa" w:w="1234"/>
          </w:tcPr>
          <w:p>
            <w:r>
              <w:t>[ ]</w:t>
            </w:r>
          </w:p>
        </w:tc>
      </w:tr>
    </w:tbl>
    <w:p/>
    <w:p>
      <w:pPr>
        <w:pStyle w:val="Heading1"/>
      </w:pPr>
      <w:r>
        <w:t>Appendix C. Framework cross-reference</w:t>
      </w:r>
    </w:p>
    <w:p>
      <w:r>
        <w:t>Where each section sits against the NIST Cybersecurity Framework 2.0 functions and the CIS Controls v8 control families most relevant to Implementation Group 1. The mapping is a reading aid, not an assessment or an attestation.</w:t>
      </w:r>
    </w:p>
    <w:tbl>
      <w:tblPr>
        <w:tblStyle w:val="TableGrid"/>
        <w:tblW w:type="auto" w:w="0"/>
        <w:tblLook w:firstColumn="1" w:firstRow="1" w:lastColumn="0" w:lastRow="0" w:noHBand="0" w:noVBand="1" w:val="04A0"/>
      </w:tblPr>
      <w:tblGrid>
        <w:gridCol w:w="2880"/>
        <w:gridCol w:w="2880"/>
        <w:gridCol w:w="2880"/>
      </w:tblGrid>
      <w:tr>
        <w:tc>
          <w:tcPr>
            <w:tcW w:type="dxa" w:w="3402"/>
            <w:shd w:val="clear" w:color="auto" w:fill="EEF2F7"/>
          </w:tcPr>
          <w:p>
            <w:r/>
            <w:r>
              <w:rPr>
                <w:b/>
              </w:rPr>
              <w:t>Policy section</w:t>
            </w:r>
          </w:p>
        </w:tc>
        <w:tc>
          <w:tcPr>
            <w:tcW w:type="dxa" w:w="1984"/>
            <w:shd w:val="clear" w:color="auto" w:fill="EEF2F7"/>
          </w:tcPr>
          <w:p>
            <w:r/>
            <w:r>
              <w:rPr>
                <w:b/>
              </w:rPr>
              <w:t>NIST CSF 2.0 function</w:t>
            </w:r>
          </w:p>
        </w:tc>
        <w:tc>
          <w:tcPr>
            <w:tcW w:type="dxa" w:w="3969"/>
            <w:shd w:val="clear" w:color="auto" w:fill="EEF2F7"/>
          </w:tcPr>
          <w:p>
            <w:r/>
            <w:r>
              <w:rPr>
                <w:b/>
              </w:rPr>
              <w:t>CIS Controls v8 (IG1 families)</w:t>
            </w:r>
          </w:p>
        </w:tc>
      </w:tr>
      <w:tr>
        <w:tc>
          <w:tcPr>
            <w:tcW w:type="dxa" w:w="3402"/>
          </w:tcPr>
          <w:p>
            <w:r>
              <w:t>1 to 3, 17 to 19: purpose, roles, acceptable use, exceptions, review, enforcement</w:t>
            </w:r>
          </w:p>
        </w:tc>
        <w:tc>
          <w:tcPr>
            <w:tcW w:type="dxa" w:w="1984"/>
          </w:tcPr>
          <w:p>
            <w:r>
              <w:t>Govern</w:t>
            </w:r>
          </w:p>
        </w:tc>
        <w:tc>
          <w:tcPr>
            <w:tcW w:type="dxa" w:w="3969"/>
          </w:tcPr>
          <w:p>
            <w:r>
              <w:t>CIS 14 (awareness), 17 (incident response management) and the policy expectations in each control</w:t>
            </w:r>
          </w:p>
        </w:tc>
      </w:tr>
      <w:tr>
        <w:tc>
          <w:tcPr>
            <w:tcW w:type="dxa" w:w="3402"/>
          </w:tcPr>
          <w:p>
            <w:r>
              <w:t>7, 11: data classification, asset and vulnerability inventory</w:t>
            </w:r>
          </w:p>
        </w:tc>
        <w:tc>
          <w:tcPr>
            <w:tcW w:type="dxa" w:w="1984"/>
          </w:tcPr>
          <w:p>
            <w:r>
              <w:t>Identify</w:t>
            </w:r>
          </w:p>
        </w:tc>
        <w:tc>
          <w:tcPr>
            <w:tcW w:type="dxa" w:w="3969"/>
          </w:tcPr>
          <w:p>
            <w:r>
              <w:t>CIS 1 (enterprise assets), 2 (software assets), 3 (data protection), 7 (vulnerability management)</w:t>
            </w:r>
          </w:p>
        </w:tc>
      </w:tr>
      <w:tr>
        <w:tc>
          <w:tcPr>
            <w:tcW w:type="dxa" w:w="3402"/>
          </w:tcPr>
          <w:p>
            <w:r>
              <w:t>4 to 9, 13, 16: access, devices, network, data handling, email, backup, training, physical</w:t>
            </w:r>
          </w:p>
        </w:tc>
        <w:tc>
          <w:tcPr>
            <w:tcW w:type="dxa" w:w="1984"/>
          </w:tcPr>
          <w:p>
            <w:r>
              <w:t>Protect</w:t>
            </w:r>
          </w:p>
        </w:tc>
        <w:tc>
          <w:tcPr>
            <w:tcW w:type="dxa" w:w="3969"/>
          </w:tcPr>
          <w:p>
            <w:r>
              <w:t>CIS 3, 4 (secure configuration), 5 (account management), 6 (access control), 8 (audit log management), 9 (email and web browser), 10 (malware defenses), 11 (data recovery), 12 (network), 14 (training)</w:t>
            </w:r>
          </w:p>
        </w:tc>
      </w:tr>
      <w:tr>
        <w:tc>
          <w:tcPr>
            <w:tcW w:type="dxa" w:w="3402"/>
          </w:tcPr>
          <w:p>
            <w:r>
              <w:t>10: logging and monitoring</w:t>
            </w:r>
          </w:p>
        </w:tc>
        <w:tc>
          <w:tcPr>
            <w:tcW w:type="dxa" w:w="1984"/>
          </w:tcPr>
          <w:p>
            <w:r>
              <w:t>Detect</w:t>
            </w:r>
          </w:p>
        </w:tc>
        <w:tc>
          <w:tcPr>
            <w:tcW w:type="dxa" w:w="3969"/>
          </w:tcPr>
          <w:p>
            <w:r>
              <w:t>CIS 8 (audit log management), 10 (malware defenses), 13 (network monitoring; largely beyond IG1)</w:t>
            </w:r>
          </w:p>
        </w:tc>
      </w:tr>
      <w:tr>
        <w:tc>
          <w:tcPr>
            <w:tcW w:type="dxa" w:w="3402"/>
          </w:tcPr>
          <w:p>
            <w:r>
              <w:t>14: incident response</w:t>
            </w:r>
          </w:p>
        </w:tc>
        <w:tc>
          <w:tcPr>
            <w:tcW w:type="dxa" w:w="1984"/>
          </w:tcPr>
          <w:p>
            <w:r>
              <w:t>Respond</w:t>
            </w:r>
          </w:p>
        </w:tc>
        <w:tc>
          <w:tcPr>
            <w:tcW w:type="dxa" w:w="3969"/>
          </w:tcPr>
          <w:p>
            <w:r>
              <w:t>CIS 17 (incident response management)</w:t>
            </w:r>
          </w:p>
        </w:tc>
      </w:tr>
      <w:tr>
        <w:tc>
          <w:tcPr>
            <w:tcW w:type="dxa" w:w="3402"/>
          </w:tcPr>
          <w:p>
            <w:r>
              <w:t>9, 15: backup, continuity and disaster recovery</w:t>
            </w:r>
          </w:p>
        </w:tc>
        <w:tc>
          <w:tcPr>
            <w:tcW w:type="dxa" w:w="1984"/>
          </w:tcPr>
          <w:p>
            <w:r>
              <w:t>Recover</w:t>
            </w:r>
          </w:p>
        </w:tc>
        <w:tc>
          <w:tcPr>
            <w:tcW w:type="dxa" w:w="3969"/>
          </w:tcPr>
          <w:p>
            <w:r>
              <w:t>CIS 11 (data recovery)</w:t>
            </w:r>
          </w:p>
        </w:tc>
      </w:tr>
    </w:tbl>
    <w:p/>
    <w:p>
      <w:r>
        <w:t>Regulatory drivers that commonly apply to small businesses and that this structure is designed to support (confirm applicability with counsel): the FTC Safeguards Rule for non-bank financial institutions (a designated qualified individual, a written risk assessment, access controls, encryption, MFA, secure disposal, change management, monitoring and testing, training, service provider oversight, a written incident response plan and board reporting); the HIPAA Security Rule administrative safeguards at 45 CFR 164.308 for covered entities and business associates (security management process including risk analysis, assigned security responsibility, workforce security, information access management, security awareness and training, security incident procedures, contingency plan, evaluation, and business associate contracts).</w:t>
      </w:r>
    </w:p>
    <w:p/>
    <w:p>
      <w:r>
        <w:rPr>
          <w:i/>
        </w:rPr>
        <w:t>Guide and sources for this template: netsysgroup.com/blog/cybersecurity-policy-template-small-business. Template version 2026-11-07. Free to use and adapt inside your own organization. This document is general information, not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